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05"/>
        <w:tblW w:w="0" w:type="auto"/>
        <w:tblLook w:val="04A0" w:firstRow="1" w:lastRow="0" w:firstColumn="1" w:lastColumn="0" w:noHBand="0" w:noVBand="1"/>
      </w:tblPr>
      <w:tblGrid>
        <w:gridCol w:w="1129"/>
        <w:gridCol w:w="3546"/>
        <w:gridCol w:w="4675"/>
      </w:tblGrid>
      <w:tr w:rsidR="00376B53" w:rsidTr="001F4C4C">
        <w:trPr>
          <w:trHeight w:val="416"/>
        </w:trPr>
        <w:tc>
          <w:tcPr>
            <w:tcW w:w="1129" w:type="dxa"/>
          </w:tcPr>
          <w:p w:rsidR="00376B53" w:rsidRPr="00376B53" w:rsidRDefault="00376B53" w:rsidP="00376B53">
            <w:pPr>
              <w:jc w:val="center"/>
              <w:rPr>
                <w:b/>
              </w:rPr>
            </w:pPr>
            <w:r w:rsidRPr="00376B53">
              <w:rPr>
                <w:b/>
              </w:rPr>
              <w:t>From:</w:t>
            </w:r>
          </w:p>
        </w:tc>
        <w:tc>
          <w:tcPr>
            <w:tcW w:w="8221" w:type="dxa"/>
            <w:gridSpan w:val="2"/>
          </w:tcPr>
          <w:p w:rsidR="00376B53" w:rsidRDefault="00E84B17" w:rsidP="00376B53">
            <w:r w:rsidRPr="00E84B17">
              <w:t>communication@csninc.ca</w:t>
            </w:r>
          </w:p>
        </w:tc>
      </w:tr>
      <w:tr w:rsidR="00376B53" w:rsidTr="00FC43E0">
        <w:trPr>
          <w:trHeight w:val="422"/>
        </w:trPr>
        <w:tc>
          <w:tcPr>
            <w:tcW w:w="1129" w:type="dxa"/>
          </w:tcPr>
          <w:p w:rsidR="00376B53" w:rsidRPr="00376B53" w:rsidRDefault="00376B53" w:rsidP="00376B53">
            <w:pPr>
              <w:jc w:val="center"/>
              <w:rPr>
                <w:b/>
              </w:rPr>
            </w:pPr>
            <w:r w:rsidRPr="00376B53">
              <w:rPr>
                <w:b/>
              </w:rPr>
              <w:t>Date:</w:t>
            </w:r>
          </w:p>
        </w:tc>
        <w:tc>
          <w:tcPr>
            <w:tcW w:w="8221" w:type="dxa"/>
            <w:gridSpan w:val="2"/>
          </w:tcPr>
          <w:p w:rsidR="00376B53" w:rsidRDefault="00E84B17" w:rsidP="00376B53">
            <w:r w:rsidRPr="00E84B17">
              <w:t>Thu, Nov 12, 2015 at 12:23 PM</w:t>
            </w:r>
          </w:p>
        </w:tc>
      </w:tr>
      <w:tr w:rsidR="00376B53" w:rsidTr="003D1858">
        <w:trPr>
          <w:trHeight w:val="414"/>
        </w:trPr>
        <w:tc>
          <w:tcPr>
            <w:tcW w:w="1129" w:type="dxa"/>
          </w:tcPr>
          <w:p w:rsidR="00376B53" w:rsidRPr="00376B53" w:rsidRDefault="00376B53" w:rsidP="00376B53">
            <w:pPr>
              <w:jc w:val="center"/>
              <w:rPr>
                <w:b/>
              </w:rPr>
            </w:pPr>
            <w:r w:rsidRPr="00376B53">
              <w:rPr>
                <w:b/>
              </w:rPr>
              <w:t>Subject:</w:t>
            </w:r>
          </w:p>
        </w:tc>
        <w:tc>
          <w:tcPr>
            <w:tcW w:w="8221" w:type="dxa"/>
            <w:gridSpan w:val="2"/>
          </w:tcPr>
          <w:p w:rsidR="00376B53" w:rsidRDefault="00E84B17" w:rsidP="00376B53">
            <w:bookmarkStart w:id="0" w:name="_GoBack"/>
            <w:r w:rsidRPr="00E84B17">
              <w:t>TD Insurance Payments</w:t>
            </w:r>
            <w:bookmarkEnd w:id="0"/>
          </w:p>
        </w:tc>
      </w:tr>
      <w:tr w:rsidR="00376B53" w:rsidTr="00376B53">
        <w:trPr>
          <w:trHeight w:val="419"/>
        </w:trPr>
        <w:tc>
          <w:tcPr>
            <w:tcW w:w="9350" w:type="dxa"/>
            <w:gridSpan w:val="3"/>
          </w:tcPr>
          <w:p w:rsidR="00376B53" w:rsidRDefault="00376B53" w:rsidP="00376B53">
            <w:r w:rsidRPr="00376B53">
              <w:rPr>
                <w:b/>
              </w:rPr>
              <w:t>Message:</w:t>
            </w:r>
            <w:r>
              <w:t xml:space="preserve"> </w:t>
            </w:r>
          </w:p>
        </w:tc>
      </w:tr>
      <w:tr w:rsidR="00376B53" w:rsidTr="00415419">
        <w:trPr>
          <w:trHeight w:val="547"/>
        </w:trPr>
        <w:tc>
          <w:tcPr>
            <w:tcW w:w="9350" w:type="dxa"/>
            <w:gridSpan w:val="3"/>
          </w:tcPr>
          <w:p w:rsidR="00E84B17" w:rsidRDefault="00E84B17" w:rsidP="00E84B17">
            <w:r>
              <w:t>Good Day TD DRP Partners,</w:t>
            </w:r>
          </w:p>
          <w:p w:rsidR="00E84B17" w:rsidRDefault="00E84B17" w:rsidP="00E84B17">
            <w:r>
              <w:t xml:space="preserve"> </w:t>
            </w:r>
          </w:p>
          <w:p w:rsidR="00E84B17" w:rsidRDefault="00E84B17" w:rsidP="00E84B17">
            <w:r>
              <w:t>Over the past 3 months CSN has discussed the issue of slow payment regarding the “outstanding invoice list” (60 days and older invoices) we submit monthly.</w:t>
            </w:r>
          </w:p>
          <w:p w:rsidR="00E84B17" w:rsidRDefault="00E84B17" w:rsidP="00E84B17">
            <w:r>
              <w:t xml:space="preserve"> </w:t>
            </w:r>
          </w:p>
          <w:p w:rsidR="00E84B17" w:rsidRDefault="00E84B17" w:rsidP="00E84B17">
            <w:r>
              <w:t>TD Insurance has informed CSN that a new payment department was created in September and that payment of outstanding invoices should significantly improve.</w:t>
            </w:r>
          </w:p>
          <w:p w:rsidR="00E84B17" w:rsidRDefault="00E84B17" w:rsidP="00E84B17">
            <w:r>
              <w:t xml:space="preserve"> </w:t>
            </w:r>
          </w:p>
          <w:p w:rsidR="00E84B17" w:rsidRDefault="00E84B17" w:rsidP="00E84B17">
            <w:r>
              <w:t>The last list we have submitted to TD Insurance was dated October 2015. We will not be submitting an outstanding invoice list for the month of November 2015 giving TD Insurance the opportunity to work on the October 2015 list to perfect their payment process.</w:t>
            </w:r>
          </w:p>
          <w:p w:rsidR="00E84B17" w:rsidRDefault="00E84B17" w:rsidP="00E84B17">
            <w:r>
              <w:t xml:space="preserve"> </w:t>
            </w:r>
          </w:p>
          <w:p w:rsidR="00E84B17" w:rsidRDefault="00E84B17" w:rsidP="00E84B17">
            <w:r>
              <w:t>The next bulk payment forwarded to CSN from TD Insurance will be in the first week of December. We will reconcile this payment to the October outstanding list and review the results. If payments have not significantly improved CSN Corporate will contact TD Insurance to discuss alternative methods of gaining payment on older invoices.</w:t>
            </w:r>
          </w:p>
          <w:p w:rsidR="00E84B17" w:rsidRDefault="00E84B17" w:rsidP="00E84B17"/>
          <w:p w:rsidR="00376B53" w:rsidRDefault="00E84B17" w:rsidP="00E84B17">
            <w:r>
              <w:t>Thank you.</w:t>
            </w:r>
          </w:p>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376B53" w:rsidRDefault="00376B53"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p w:rsidR="008E6A80" w:rsidRDefault="008E6A80" w:rsidP="00376B53"/>
        </w:tc>
      </w:tr>
      <w:tr w:rsidR="00376B53" w:rsidTr="00852368">
        <w:trPr>
          <w:trHeight w:val="547"/>
        </w:trPr>
        <w:tc>
          <w:tcPr>
            <w:tcW w:w="4675" w:type="dxa"/>
            <w:gridSpan w:val="2"/>
          </w:tcPr>
          <w:p w:rsidR="00376B53" w:rsidRDefault="00376B53" w:rsidP="00376B53">
            <w:pPr>
              <w:jc w:val="center"/>
            </w:pPr>
            <w:r w:rsidRPr="00376B53">
              <w:rPr>
                <w:b/>
              </w:rPr>
              <w:t>Attachment included?</w:t>
            </w:r>
          </w:p>
        </w:tc>
        <w:tc>
          <w:tcPr>
            <w:tcW w:w="4675" w:type="dxa"/>
          </w:tcPr>
          <w:p w:rsidR="00376B53" w:rsidRDefault="00E84B17" w:rsidP="00B063A1">
            <w:pPr>
              <w:jc w:val="center"/>
            </w:pPr>
            <w:r>
              <w:t>NO</w:t>
            </w:r>
          </w:p>
        </w:tc>
      </w:tr>
    </w:tbl>
    <w:p w:rsidR="00B252D5" w:rsidRDefault="00B252D5"/>
    <w:sectPr w:rsidR="00B252D5" w:rsidSect="00B063A1">
      <w:headerReference w:type="default" r:id="rId6"/>
      <w:pgSz w:w="12240" w:h="15840"/>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635" w:rsidRDefault="00EC1635" w:rsidP="00376B53">
      <w:pPr>
        <w:spacing w:after="0" w:line="240" w:lineRule="auto"/>
      </w:pPr>
      <w:r>
        <w:separator/>
      </w:r>
    </w:p>
  </w:endnote>
  <w:endnote w:type="continuationSeparator" w:id="0">
    <w:p w:rsidR="00EC1635" w:rsidRDefault="00EC1635" w:rsidP="0037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635" w:rsidRDefault="00EC1635" w:rsidP="00376B53">
      <w:pPr>
        <w:spacing w:after="0" w:line="240" w:lineRule="auto"/>
      </w:pPr>
      <w:r>
        <w:separator/>
      </w:r>
    </w:p>
  </w:footnote>
  <w:footnote w:type="continuationSeparator" w:id="0">
    <w:p w:rsidR="00EC1635" w:rsidRDefault="00EC1635" w:rsidP="00376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53" w:rsidRDefault="00B063A1">
    <w:pPr>
      <w:pStyle w:val="Header"/>
    </w:pPr>
    <w:r>
      <w:rPr>
        <w:noProof/>
        <w:lang w:eastAsia="en-CA"/>
      </w:rPr>
      <w:drawing>
        <wp:anchor distT="0" distB="0" distL="114300" distR="114300" simplePos="0" relativeHeight="251658240" behindDoc="0" locked="0" layoutInCell="1" allowOverlap="1" wp14:anchorId="22770B88" wp14:editId="4C0227AA">
          <wp:simplePos x="0" y="0"/>
          <wp:positionH relativeFrom="column">
            <wp:posOffset>180975</wp:posOffset>
          </wp:positionH>
          <wp:positionV relativeFrom="paragraph">
            <wp:posOffset>-240030</wp:posOffset>
          </wp:positionV>
          <wp:extent cx="3267075" cy="591185"/>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Corp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7075" cy="591185"/>
                  </a:xfrm>
                  <a:prstGeom prst="rect">
                    <a:avLst/>
                  </a:prstGeom>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59264" behindDoc="0" locked="0" layoutInCell="1" allowOverlap="1" wp14:anchorId="6B3BB303" wp14:editId="6C4F6E3A">
              <wp:simplePos x="0" y="0"/>
              <wp:positionH relativeFrom="column">
                <wp:posOffset>3276600</wp:posOffset>
              </wp:positionH>
              <wp:positionV relativeFrom="paragraph">
                <wp:posOffset>-240030</wp:posOffset>
              </wp:positionV>
              <wp:extent cx="260985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6098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BB303" id="_x0000_t202" coordsize="21600,21600" o:spt="202" path="m,l,21600r21600,l21600,xe">
              <v:stroke joinstyle="miter"/>
              <v:path gradientshapeok="t" o:connecttype="rect"/>
            </v:shapetype>
            <v:shape id="Text Box 3" o:spid="_x0000_s1026" type="#_x0000_t202" style="position:absolute;margin-left:258pt;margin-top:-18.9pt;width:205.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" filled="f" stroked="f" strokeweight=".5pt">
              <v:textbox>
                <w:txbxContent>
                  <w:p w:rsidR="00376B53" w:rsidRPr="00376B53" w:rsidRDefault="00376B53" w:rsidP="00376B53">
                    <w:pPr>
                      <w:spacing w:after="0"/>
                      <w:jc w:val="center"/>
                      <w:rPr>
                        <w:b/>
                        <w:sz w:val="32"/>
                        <w:szCs w:val="32"/>
                      </w:rPr>
                    </w:pPr>
                    <w:r w:rsidRPr="00376B53">
                      <w:rPr>
                        <w:b/>
                        <w:sz w:val="32"/>
                        <w:szCs w:val="32"/>
                      </w:rPr>
                      <w:t>CSN Collision Centres</w:t>
                    </w:r>
                  </w:p>
                  <w:p w:rsidR="00376B53" w:rsidRPr="00376B53" w:rsidRDefault="00376B53" w:rsidP="00376B53">
                    <w:pPr>
                      <w:spacing w:after="0"/>
                      <w:jc w:val="center"/>
                      <w:rPr>
                        <w:b/>
                        <w:sz w:val="32"/>
                        <w:szCs w:val="32"/>
                      </w:rPr>
                    </w:pPr>
                    <w:r w:rsidRPr="00376B53">
                      <w:rPr>
                        <w:b/>
                        <w:sz w:val="32"/>
                        <w:szCs w:val="32"/>
                      </w:rPr>
                      <w:t>Communication Update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53"/>
    <w:rsid w:val="00376B53"/>
    <w:rsid w:val="003F73FE"/>
    <w:rsid w:val="004D24DC"/>
    <w:rsid w:val="005A0E49"/>
    <w:rsid w:val="008E6A80"/>
    <w:rsid w:val="00B063A1"/>
    <w:rsid w:val="00B23281"/>
    <w:rsid w:val="00B252D5"/>
    <w:rsid w:val="00E84B17"/>
    <w:rsid w:val="00EC1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4134D-0611-46E6-9D4C-551D55D1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6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B53"/>
  </w:style>
  <w:style w:type="paragraph" w:styleId="Footer">
    <w:name w:val="footer"/>
    <w:basedOn w:val="Normal"/>
    <w:link w:val="FooterChar"/>
    <w:uiPriority w:val="99"/>
    <w:unhideWhenUsed/>
    <w:rsid w:val="00376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B53"/>
  </w:style>
  <w:style w:type="character" w:styleId="Hyperlink">
    <w:name w:val="Hyperlink"/>
    <w:basedOn w:val="DefaultParagraphFont"/>
    <w:uiPriority w:val="99"/>
    <w:unhideWhenUsed/>
    <w:rsid w:val="00B063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Nezy Lacdao</dc:creator>
  <cp:keywords/>
  <dc:description/>
  <cp:lastModifiedBy>Larry French</cp:lastModifiedBy>
  <cp:revision>2</cp:revision>
  <dcterms:created xsi:type="dcterms:W3CDTF">2016-04-13T20:01:00Z</dcterms:created>
  <dcterms:modified xsi:type="dcterms:W3CDTF">2016-04-13T20:01:00Z</dcterms:modified>
</cp:coreProperties>
</file>